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B2343" w14:textId="77777777" w:rsidR="00C414BE" w:rsidRDefault="00C414BE" w:rsidP="00C414BE">
      <w:pPr>
        <w:spacing w:line="360" w:lineRule="auto"/>
        <w:ind w:left="2160" w:hanging="2160"/>
        <w:jc w:val="both"/>
      </w:pPr>
      <w:r>
        <w:t>Student’s Name</w:t>
      </w:r>
    </w:p>
    <w:p w14:paraId="43D2C9A0" w14:textId="77777777" w:rsidR="00C414BE" w:rsidRDefault="00C414BE" w:rsidP="00C414BE">
      <w:pPr>
        <w:spacing w:line="360" w:lineRule="auto"/>
        <w:ind w:left="2160" w:hanging="2160"/>
        <w:jc w:val="both"/>
      </w:pPr>
      <w:r>
        <w:t>Professor’s Name</w:t>
      </w:r>
    </w:p>
    <w:p w14:paraId="54A38EF8" w14:textId="115E5CDC" w:rsidR="00C414BE" w:rsidRDefault="00C414BE" w:rsidP="00C414BE">
      <w:pPr>
        <w:spacing w:line="360" w:lineRule="auto"/>
        <w:ind w:left="2160" w:hanging="2160"/>
        <w:jc w:val="both"/>
      </w:pPr>
      <w:r>
        <w:t>Course</w:t>
      </w:r>
      <w:bookmarkStart w:id="0" w:name="_GoBack"/>
      <w:bookmarkEnd w:id="0"/>
    </w:p>
    <w:p w14:paraId="09482135" w14:textId="77777777" w:rsidR="00C414BE" w:rsidRDefault="00C414BE" w:rsidP="00C414BE">
      <w:pPr>
        <w:spacing w:line="360" w:lineRule="auto"/>
        <w:ind w:left="2160" w:hanging="2160"/>
        <w:jc w:val="both"/>
      </w:pPr>
      <w:r>
        <w:t>Due Date</w:t>
      </w:r>
    </w:p>
    <w:p w14:paraId="528C979E" w14:textId="42226A0E" w:rsidR="0012312C" w:rsidRPr="00C414BE" w:rsidRDefault="00C414BE" w:rsidP="00C414BE">
      <w:pPr>
        <w:spacing w:line="360" w:lineRule="auto"/>
        <w:ind w:left="2160" w:hanging="2160"/>
        <w:jc w:val="center"/>
        <w:rPr>
          <w:b/>
          <w:u w:val="single"/>
        </w:rPr>
      </w:pPr>
      <w:r w:rsidRPr="00C414BE">
        <w:rPr>
          <w:b/>
          <w:u w:val="single"/>
        </w:rPr>
        <w:t xml:space="preserve">Case Summary: </w:t>
      </w:r>
      <w:r w:rsidR="00F9724C" w:rsidRPr="00C414BE">
        <w:rPr>
          <w:b/>
          <w:i/>
          <w:u w:val="single"/>
        </w:rPr>
        <w:t xml:space="preserve">Cintas Corp v. NLRB, </w:t>
      </w:r>
      <w:r w:rsidR="00F9724C" w:rsidRPr="00C414BE">
        <w:rPr>
          <w:b/>
          <w:u w:val="single"/>
        </w:rPr>
        <w:t>482 F3d 463 (D.C. Cir. 2007)</w:t>
      </w:r>
    </w:p>
    <w:p w14:paraId="76A16814" w14:textId="77777777" w:rsidR="003C6930" w:rsidRDefault="003C6930" w:rsidP="00C414BE">
      <w:pPr>
        <w:jc w:val="both"/>
      </w:pPr>
    </w:p>
    <w:p w14:paraId="2922C5BF" w14:textId="05B0AC0B" w:rsidR="005932BC" w:rsidRDefault="003B0B67" w:rsidP="00C414BE">
      <w:pPr>
        <w:ind w:left="2880" w:hanging="2880"/>
        <w:jc w:val="both"/>
      </w:pPr>
      <w:r>
        <w:t xml:space="preserve">Background </w:t>
      </w:r>
      <w:r w:rsidR="005932BC">
        <w:t>Facts:</w:t>
      </w:r>
      <w:r w:rsidR="006C2387">
        <w:tab/>
      </w:r>
      <w:r w:rsidR="004118CB">
        <w:t>Cintas</w:t>
      </w:r>
      <w:r w:rsidR="000C6218">
        <w:t xml:space="preserve">, the petitioner, </w:t>
      </w:r>
      <w:r w:rsidR="004118CB">
        <w:t xml:space="preserve">is a corporation that operates throughout North America offering businesses with workplace uniforms. The employee handbook known as ‘Cintas Corporation Partner Reference Guide’, is made available to all employees stating the company’s culture of honoring the confidentiality and discipline as to if employees would violate this information. This case entails the allegation that this confidentiality rule of Cintas Corporation violated the provisions of sections 7 and 8(a)(1) of the National Labor Relations Act (NLRA0 which serves to protect the employees’ rights to discuss the conditions and policies of their employment with others. The </w:t>
      </w:r>
      <w:r w:rsidR="004118CB">
        <w:t>confidentiality rule</w:t>
      </w:r>
      <w:r w:rsidR="004118CB">
        <w:t xml:space="preserve"> violated section 7 since the NLRA guarantees employees the right to be assisted with labor organizations and to use collective bargaining of their own choosing among other activities. The </w:t>
      </w:r>
      <w:r w:rsidR="004118CB">
        <w:t>confidentiality rule</w:t>
      </w:r>
      <w:r w:rsidR="004118CB">
        <w:t xml:space="preserve"> violated section </w:t>
      </w:r>
      <w:r w:rsidR="004118CB">
        <w:t>8(a)(1)</w:t>
      </w:r>
      <w:r w:rsidR="004118CB">
        <w:t xml:space="preserve"> since the NLRA bars employers from interfering with the employees’ exercise of that right.</w:t>
      </w:r>
    </w:p>
    <w:p w14:paraId="3608FB3E" w14:textId="77777777" w:rsidR="003B0B67" w:rsidRDefault="003B0B67" w:rsidP="00C414BE">
      <w:pPr>
        <w:ind w:left="2160" w:hanging="2160"/>
        <w:jc w:val="both"/>
      </w:pPr>
    </w:p>
    <w:p w14:paraId="119B3E9C" w14:textId="0CEB2A23" w:rsidR="003B0B67" w:rsidRDefault="003B0B67" w:rsidP="00C414BE">
      <w:pPr>
        <w:ind w:left="2880" w:hanging="2880"/>
        <w:jc w:val="both"/>
      </w:pPr>
      <w:r>
        <w:t>Procedural Information:</w:t>
      </w:r>
      <w:r>
        <w:tab/>
      </w:r>
      <w:r w:rsidR="00B07E12">
        <w:t>T</w:t>
      </w:r>
      <w:r w:rsidR="00531337" w:rsidRPr="00531337">
        <w:t xml:space="preserve">he </w:t>
      </w:r>
      <w:r w:rsidR="00171B3E" w:rsidRPr="002A63CC">
        <w:t>Circuit Judges</w:t>
      </w:r>
      <w:r w:rsidR="00171B3E">
        <w:t xml:space="preserve"> </w:t>
      </w:r>
      <w:r w:rsidR="00171B3E">
        <w:t xml:space="preserve">reviewed the </w:t>
      </w:r>
      <w:r w:rsidR="00531337" w:rsidRPr="00531337">
        <w:t>NLRB</w:t>
      </w:r>
      <w:r w:rsidR="00171B3E">
        <w:t>’s</w:t>
      </w:r>
      <w:r w:rsidR="00531337" w:rsidRPr="00531337">
        <w:t xml:space="preserve"> </w:t>
      </w:r>
      <w:r w:rsidR="00B07E12">
        <w:t xml:space="preserve">decision. </w:t>
      </w:r>
      <w:r w:rsidR="00171B3E">
        <w:t xml:space="preserve">The </w:t>
      </w:r>
      <w:r w:rsidR="00171B3E" w:rsidRPr="002A63CC">
        <w:t>Circuit Judges</w:t>
      </w:r>
      <w:r w:rsidR="00171B3E">
        <w:t xml:space="preserve"> </w:t>
      </w:r>
      <w:r w:rsidR="00171B3E">
        <w:t xml:space="preserve">reviewed </w:t>
      </w:r>
      <w:r w:rsidR="00171B3E" w:rsidRPr="00171B3E">
        <w:t>Cintas's petition</w:t>
      </w:r>
      <w:r w:rsidR="00171B3E">
        <w:t xml:space="preserve">. </w:t>
      </w:r>
      <w:r w:rsidR="00B07E12">
        <w:t>T</w:t>
      </w:r>
      <w:r w:rsidR="00B07E12" w:rsidRPr="00531337">
        <w:t>he NLRB</w:t>
      </w:r>
      <w:r w:rsidR="00B07E12">
        <w:t xml:space="preserve"> </w:t>
      </w:r>
      <w:r w:rsidR="00531337" w:rsidRPr="00531337">
        <w:t xml:space="preserve">unanimously affirmed the </w:t>
      </w:r>
      <w:r w:rsidR="00B07E12" w:rsidRPr="00531337">
        <w:t>ALJ's</w:t>
      </w:r>
      <w:r w:rsidR="00B07E12" w:rsidRPr="00531337">
        <w:t xml:space="preserve"> </w:t>
      </w:r>
      <w:r w:rsidR="00531337" w:rsidRPr="00531337">
        <w:t>decision</w:t>
      </w:r>
      <w:r w:rsidR="00B07E12">
        <w:t xml:space="preserve">. This was because </w:t>
      </w:r>
      <w:r w:rsidR="00531337" w:rsidRPr="00531337">
        <w:t>the language in the Cintas employee handbook created an "unqualified prohibition</w:t>
      </w:r>
      <w:r w:rsidR="00464871">
        <w:t>”</w:t>
      </w:r>
      <w:r w:rsidR="00531337" w:rsidRPr="00531337">
        <w:t xml:space="preserve"> of the release of `any information' regarding its partners</w:t>
      </w:r>
      <w:r w:rsidR="00B07E12">
        <w:t>.</w:t>
      </w:r>
      <w:r w:rsidR="00531337" w:rsidRPr="00531337">
        <w:t xml:space="preserve"> </w:t>
      </w:r>
      <w:r w:rsidR="007A4741" w:rsidRPr="00531337">
        <w:t>The Board order</w:t>
      </w:r>
      <w:r w:rsidR="007A4741">
        <w:t>ed</w:t>
      </w:r>
      <w:r w:rsidR="007A4741" w:rsidRPr="00531337">
        <w:t xml:space="preserve"> Cintas either </w:t>
      </w:r>
      <w:r w:rsidR="007A4741">
        <w:t xml:space="preserve">to </w:t>
      </w:r>
      <w:r w:rsidR="007A4741" w:rsidRPr="00531337">
        <w:t>rescind the disputed language and provide employees with handbook inserts substituting lawful language, or distribute a revised employee handbook with the appropriate substitution of lawful language for unlawful language</w:t>
      </w:r>
      <w:r w:rsidR="007A4741">
        <w:t>.</w:t>
      </w:r>
      <w:r>
        <w:t xml:space="preserve"> </w:t>
      </w:r>
    </w:p>
    <w:p w14:paraId="0BBDAC49" w14:textId="77777777" w:rsidR="003C6930" w:rsidRDefault="003C6930" w:rsidP="00C414BE">
      <w:pPr>
        <w:jc w:val="both"/>
      </w:pPr>
    </w:p>
    <w:p w14:paraId="0687162F" w14:textId="4E30C175" w:rsidR="005932BC" w:rsidRDefault="0058389D" w:rsidP="00C414BE">
      <w:pPr>
        <w:ind w:left="2880" w:hanging="2880"/>
        <w:jc w:val="both"/>
      </w:pPr>
      <w:r>
        <w:t>Issue</w:t>
      </w:r>
      <w:r w:rsidR="005932BC">
        <w:t>:</w:t>
      </w:r>
      <w:r w:rsidR="00BD61E4">
        <w:tab/>
      </w:r>
      <w:r w:rsidR="00945488">
        <w:t xml:space="preserve">Would the </w:t>
      </w:r>
      <w:r w:rsidR="00945488" w:rsidRPr="00945488">
        <w:t xml:space="preserve">employees reading the disputed rule </w:t>
      </w:r>
      <w:r w:rsidR="00945488">
        <w:t xml:space="preserve">in the corporation’s handbook </w:t>
      </w:r>
      <w:r w:rsidR="00945488" w:rsidRPr="00945488">
        <w:t>reasonably construe it</w:t>
      </w:r>
      <w:r w:rsidR="00945488">
        <w:t xml:space="preserve"> </w:t>
      </w:r>
      <w:r w:rsidR="00945488" w:rsidRPr="00945488">
        <w:t>as precluding them from discussing their terms and conditions of employment with other employees or a union, or would they reasonably understand that the disputed rule was designed to protect their employer's legitimate proprietary business interests</w:t>
      </w:r>
      <w:r w:rsidR="00945488">
        <w:t xml:space="preserve">? </w:t>
      </w:r>
    </w:p>
    <w:p w14:paraId="076ABC41" w14:textId="77777777" w:rsidR="003C6930" w:rsidRDefault="003C6930" w:rsidP="00C414BE">
      <w:pPr>
        <w:jc w:val="both"/>
      </w:pPr>
    </w:p>
    <w:p w14:paraId="24C4BF6A" w14:textId="1403E55D" w:rsidR="005932BC" w:rsidRDefault="003B0B67" w:rsidP="00C414BE">
      <w:pPr>
        <w:ind w:left="2880" w:hanging="2880"/>
        <w:jc w:val="both"/>
      </w:pPr>
      <w:r>
        <w:t>Decision</w:t>
      </w:r>
      <w:r w:rsidR="005932BC">
        <w:t>:</w:t>
      </w:r>
      <w:r w:rsidR="00BD61E4">
        <w:tab/>
      </w:r>
      <w:r w:rsidR="002B6971">
        <w:t>No</w:t>
      </w:r>
      <w:r w:rsidR="00FB772D">
        <w:t xml:space="preserve">. </w:t>
      </w:r>
      <w:r w:rsidR="0058389D">
        <w:t xml:space="preserve"> </w:t>
      </w:r>
      <w:r w:rsidR="00171B3E">
        <w:t>T</w:t>
      </w:r>
      <w:r w:rsidR="002B6971">
        <w:t xml:space="preserve">he </w:t>
      </w:r>
      <w:bookmarkStart w:id="1" w:name="_Hlk505536769"/>
      <w:r w:rsidR="002A63CC" w:rsidRPr="002A63CC">
        <w:t>Circuit Judges</w:t>
      </w:r>
      <w:r w:rsidR="002A63CC">
        <w:t xml:space="preserve"> </w:t>
      </w:r>
      <w:bookmarkEnd w:id="1"/>
      <w:r w:rsidR="00861DE1">
        <w:t>confirmed the NLRB’s description of</w:t>
      </w:r>
      <w:r w:rsidR="002A63CC">
        <w:t xml:space="preserve"> </w:t>
      </w:r>
      <w:r w:rsidR="002B6971" w:rsidRPr="002B6971">
        <w:t xml:space="preserve">Cintas's rule as an "unqualified prohibition of the release of `any </w:t>
      </w:r>
      <w:r w:rsidR="002B6971" w:rsidRPr="002B6971">
        <w:lastRenderedPageBreak/>
        <w:t>information' regarding its partners</w:t>
      </w:r>
      <w:r w:rsidR="002A63CC">
        <w:t xml:space="preserve"> </w:t>
      </w:r>
      <w:r w:rsidR="002B6971" w:rsidRPr="002B6971">
        <w:t>which</w:t>
      </w:r>
      <w:r w:rsidR="002A63CC">
        <w:t xml:space="preserve"> </w:t>
      </w:r>
      <w:r w:rsidR="002B6971" w:rsidRPr="002B6971">
        <w:t>could be reasonably construed by employees to restrict discussion of wages and other terms and conditions of employment."</w:t>
      </w:r>
      <w:r w:rsidR="002A63CC">
        <w:t xml:space="preserve"> </w:t>
      </w:r>
      <w:r w:rsidR="00A334EA">
        <w:t xml:space="preserve">The court denied </w:t>
      </w:r>
      <w:r w:rsidR="00A334EA" w:rsidRPr="00A334EA">
        <w:t>Cintas's petition for review and grant</w:t>
      </w:r>
      <w:r w:rsidR="00A334EA">
        <w:t>ed</w:t>
      </w:r>
      <w:r w:rsidR="00A334EA" w:rsidRPr="00A334EA">
        <w:t xml:space="preserve"> the Board's cross-petition for enforcement of its order in full.</w:t>
      </w:r>
    </w:p>
    <w:p w14:paraId="2AF00905" w14:textId="77777777" w:rsidR="003C6930" w:rsidRDefault="003C6930" w:rsidP="00C414BE">
      <w:pPr>
        <w:jc w:val="both"/>
      </w:pPr>
    </w:p>
    <w:p w14:paraId="5596D18B" w14:textId="2E37DD51" w:rsidR="005932BC" w:rsidRDefault="005932BC" w:rsidP="00C414BE">
      <w:pPr>
        <w:ind w:left="2880" w:hanging="2880"/>
        <w:jc w:val="both"/>
      </w:pPr>
      <w:r>
        <w:t>Reasoning:</w:t>
      </w:r>
      <w:r w:rsidR="00BD61E4">
        <w:tab/>
      </w:r>
      <w:r w:rsidR="002A63CC">
        <w:t>Though the company’s</w:t>
      </w:r>
      <w:r w:rsidR="002A63CC" w:rsidRPr="002A63CC">
        <w:t xml:space="preserve"> confidentiality language does not explicitly prohibit section 7 activity</w:t>
      </w:r>
      <w:r w:rsidR="002A63CC">
        <w:t xml:space="preserve">, Cintas corporation violated </w:t>
      </w:r>
      <w:r w:rsidR="002A63CC" w:rsidRPr="002A63CC">
        <w:t xml:space="preserve">section 8(a)(1) </w:t>
      </w:r>
      <w:r w:rsidR="002A63CC">
        <w:t>since its</w:t>
      </w:r>
      <w:r w:rsidR="002A63CC" w:rsidRPr="002A63CC">
        <w:t xml:space="preserve"> employees would reasonably construe the language to prohibit Section 7 activity</w:t>
      </w:r>
      <w:r w:rsidR="002A63CC">
        <w:t xml:space="preserve">. </w:t>
      </w:r>
      <w:r w:rsidR="001B330B">
        <w:t xml:space="preserve">Though </w:t>
      </w:r>
      <w:r w:rsidR="001B330B" w:rsidRPr="001B330B">
        <w:t>th</w:t>
      </w:r>
      <w:r w:rsidR="001B330B">
        <w:t>ere was</w:t>
      </w:r>
      <w:r w:rsidR="001B330B" w:rsidRPr="001B330B">
        <w:t xml:space="preserve"> </w:t>
      </w:r>
      <w:r w:rsidR="001B330B">
        <w:t>no tangible evidence to show</w:t>
      </w:r>
      <w:r w:rsidR="001B330B" w:rsidRPr="001B330B">
        <w:t xml:space="preserve"> employees' actual interpretation of the confidentiality rule to prohibit their lawful discussion</w:t>
      </w:r>
      <w:r w:rsidR="001B330B">
        <w:t>, n</w:t>
      </w:r>
      <w:r w:rsidR="001B330B" w:rsidRPr="001B330B">
        <w:t>o such evidence is required to support the Board's conclusion that the rule is overly broad and thus unlawful.</w:t>
      </w:r>
    </w:p>
    <w:p w14:paraId="15F19B57" w14:textId="77777777" w:rsidR="003B0B67" w:rsidRDefault="003B0B67" w:rsidP="00C414BE">
      <w:pPr>
        <w:ind w:left="2160" w:hanging="2160"/>
        <w:jc w:val="both"/>
      </w:pPr>
    </w:p>
    <w:p w14:paraId="70E103E9" w14:textId="1997C9DC" w:rsidR="003B0B67" w:rsidRDefault="003B0B67" w:rsidP="00C414BE">
      <w:pPr>
        <w:ind w:left="2880" w:hanging="2880"/>
        <w:jc w:val="both"/>
      </w:pPr>
      <w:r>
        <w:t>Concurrence or Dissent:</w:t>
      </w:r>
      <w:r w:rsidR="00631F10">
        <w:tab/>
      </w:r>
      <w:r w:rsidR="00502E5E">
        <w:t xml:space="preserve">The </w:t>
      </w:r>
      <w:r w:rsidR="00502E5E" w:rsidRPr="00502E5E">
        <w:t xml:space="preserve">Circuit Judges </w:t>
      </w:r>
      <w:r w:rsidR="00502E5E">
        <w:t xml:space="preserve">concurred with the previous NLRB’s decision which rendered </w:t>
      </w:r>
      <w:r w:rsidR="00C84ACE">
        <w:t xml:space="preserve">the provisions of </w:t>
      </w:r>
      <w:r w:rsidR="00C84ACE" w:rsidRPr="00531337">
        <w:t>Cintas employee handbook</w:t>
      </w:r>
      <w:r w:rsidR="00C84ACE">
        <w:t xml:space="preserve"> unlawful. For this reason, t</w:t>
      </w:r>
      <w:r w:rsidR="00C84ACE">
        <w:t xml:space="preserve">he court denied </w:t>
      </w:r>
      <w:r w:rsidR="00C84ACE" w:rsidRPr="00A334EA">
        <w:t>Cintas's petition for review and grant</w:t>
      </w:r>
      <w:r w:rsidR="00C84ACE">
        <w:t>ed</w:t>
      </w:r>
      <w:r w:rsidR="00C84ACE" w:rsidRPr="00A334EA">
        <w:t xml:space="preserve"> the Board's cross-petition for enforcement of its order in full</w:t>
      </w:r>
      <w:r w:rsidR="00C84ACE">
        <w:t>.</w:t>
      </w:r>
    </w:p>
    <w:p w14:paraId="03600167" w14:textId="293B63E7" w:rsidR="003B0B67" w:rsidRDefault="003B0B67" w:rsidP="00C414BE">
      <w:pPr>
        <w:ind w:left="2160" w:hanging="2160"/>
        <w:jc w:val="both"/>
      </w:pPr>
    </w:p>
    <w:p w14:paraId="667467B6" w14:textId="1ABBA64F" w:rsidR="007A4741" w:rsidRDefault="007A4741" w:rsidP="00C414BE">
      <w:pPr>
        <w:ind w:left="2160" w:hanging="2160"/>
        <w:jc w:val="both"/>
      </w:pPr>
    </w:p>
    <w:p w14:paraId="585D512F" w14:textId="5EE0CB9A" w:rsidR="002B6971" w:rsidRDefault="002B6971" w:rsidP="00C414BE">
      <w:pPr>
        <w:ind w:left="2160" w:hanging="2160"/>
        <w:jc w:val="both"/>
      </w:pPr>
    </w:p>
    <w:sectPr w:rsidR="002B6971" w:rsidSect="00714947">
      <w:headerReference w:type="default" r:id="rId7"/>
      <w:pgSz w:w="12240" w:h="15840"/>
      <w:pgMar w:top="1440" w:right="135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E7521" w14:textId="77777777" w:rsidR="00936C02" w:rsidRDefault="00936C02" w:rsidP="00CB1A5D">
      <w:r>
        <w:separator/>
      </w:r>
    </w:p>
  </w:endnote>
  <w:endnote w:type="continuationSeparator" w:id="0">
    <w:p w14:paraId="3F8DAE3D" w14:textId="77777777" w:rsidR="00936C02" w:rsidRDefault="00936C02" w:rsidP="00CB1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31062" w14:textId="77777777" w:rsidR="00936C02" w:rsidRDefault="00936C02" w:rsidP="00CB1A5D">
      <w:r>
        <w:separator/>
      </w:r>
    </w:p>
  </w:footnote>
  <w:footnote w:type="continuationSeparator" w:id="0">
    <w:p w14:paraId="7B1ECA14" w14:textId="77777777" w:rsidR="00936C02" w:rsidRDefault="00936C02" w:rsidP="00CB1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6585432"/>
      <w:docPartObj>
        <w:docPartGallery w:val="Page Numbers (Top of Page)"/>
        <w:docPartUnique/>
      </w:docPartObj>
    </w:sdtPr>
    <w:sdtEndPr>
      <w:rPr>
        <w:noProof/>
      </w:rPr>
    </w:sdtEndPr>
    <w:sdtContent>
      <w:p w14:paraId="75A87087" w14:textId="6EA5E1FB" w:rsidR="00CB1A5D" w:rsidRDefault="00CB1A5D">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DC3AF8A" w14:textId="77777777" w:rsidR="00CB1A5D" w:rsidRDefault="00CB1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7B64CB"/>
    <w:multiLevelType w:val="hybridMultilevel"/>
    <w:tmpl w:val="37C84EF4"/>
    <w:lvl w:ilvl="0" w:tplc="462EB638">
      <w:start w:val="1"/>
      <w:numFmt w:val="bullet"/>
      <w:lvlText w:val=""/>
      <w:lvlJc w:val="left"/>
      <w:pPr>
        <w:tabs>
          <w:tab w:val="num" w:pos="720"/>
        </w:tabs>
        <w:ind w:left="720" w:hanging="360"/>
      </w:pPr>
      <w:rPr>
        <w:rFonts w:ascii="Wingdings" w:hAnsi="Wingdings" w:hint="default"/>
      </w:rPr>
    </w:lvl>
    <w:lvl w:ilvl="1" w:tplc="24C8815A">
      <w:start w:val="1"/>
      <w:numFmt w:val="bullet"/>
      <w:lvlText w:val=""/>
      <w:lvlJc w:val="left"/>
      <w:pPr>
        <w:tabs>
          <w:tab w:val="num" w:pos="1440"/>
        </w:tabs>
        <w:ind w:left="1440" w:hanging="360"/>
      </w:pPr>
      <w:rPr>
        <w:rFonts w:ascii="Wingdings" w:hAnsi="Wingdings" w:hint="default"/>
      </w:rPr>
    </w:lvl>
    <w:lvl w:ilvl="2" w:tplc="E27894D8" w:tentative="1">
      <w:start w:val="1"/>
      <w:numFmt w:val="bullet"/>
      <w:lvlText w:val=""/>
      <w:lvlJc w:val="left"/>
      <w:pPr>
        <w:tabs>
          <w:tab w:val="num" w:pos="2160"/>
        </w:tabs>
        <w:ind w:left="2160" w:hanging="360"/>
      </w:pPr>
      <w:rPr>
        <w:rFonts w:ascii="Wingdings" w:hAnsi="Wingdings" w:hint="default"/>
      </w:rPr>
    </w:lvl>
    <w:lvl w:ilvl="3" w:tplc="CA7A3B16" w:tentative="1">
      <w:start w:val="1"/>
      <w:numFmt w:val="bullet"/>
      <w:lvlText w:val=""/>
      <w:lvlJc w:val="left"/>
      <w:pPr>
        <w:tabs>
          <w:tab w:val="num" w:pos="2880"/>
        </w:tabs>
        <w:ind w:left="2880" w:hanging="360"/>
      </w:pPr>
      <w:rPr>
        <w:rFonts w:ascii="Wingdings" w:hAnsi="Wingdings" w:hint="default"/>
      </w:rPr>
    </w:lvl>
    <w:lvl w:ilvl="4" w:tplc="4288C986" w:tentative="1">
      <w:start w:val="1"/>
      <w:numFmt w:val="bullet"/>
      <w:lvlText w:val=""/>
      <w:lvlJc w:val="left"/>
      <w:pPr>
        <w:tabs>
          <w:tab w:val="num" w:pos="3600"/>
        </w:tabs>
        <w:ind w:left="3600" w:hanging="360"/>
      </w:pPr>
      <w:rPr>
        <w:rFonts w:ascii="Wingdings" w:hAnsi="Wingdings" w:hint="default"/>
      </w:rPr>
    </w:lvl>
    <w:lvl w:ilvl="5" w:tplc="8F448D74" w:tentative="1">
      <w:start w:val="1"/>
      <w:numFmt w:val="bullet"/>
      <w:lvlText w:val=""/>
      <w:lvlJc w:val="left"/>
      <w:pPr>
        <w:tabs>
          <w:tab w:val="num" w:pos="4320"/>
        </w:tabs>
        <w:ind w:left="4320" w:hanging="360"/>
      </w:pPr>
      <w:rPr>
        <w:rFonts w:ascii="Wingdings" w:hAnsi="Wingdings" w:hint="default"/>
      </w:rPr>
    </w:lvl>
    <w:lvl w:ilvl="6" w:tplc="1EF4F470" w:tentative="1">
      <w:start w:val="1"/>
      <w:numFmt w:val="bullet"/>
      <w:lvlText w:val=""/>
      <w:lvlJc w:val="left"/>
      <w:pPr>
        <w:tabs>
          <w:tab w:val="num" w:pos="5040"/>
        </w:tabs>
        <w:ind w:left="5040" w:hanging="360"/>
      </w:pPr>
      <w:rPr>
        <w:rFonts w:ascii="Wingdings" w:hAnsi="Wingdings" w:hint="default"/>
      </w:rPr>
    </w:lvl>
    <w:lvl w:ilvl="7" w:tplc="0492A464" w:tentative="1">
      <w:start w:val="1"/>
      <w:numFmt w:val="bullet"/>
      <w:lvlText w:val=""/>
      <w:lvlJc w:val="left"/>
      <w:pPr>
        <w:tabs>
          <w:tab w:val="num" w:pos="5760"/>
        </w:tabs>
        <w:ind w:left="5760" w:hanging="360"/>
      </w:pPr>
      <w:rPr>
        <w:rFonts w:ascii="Wingdings" w:hAnsi="Wingdings" w:hint="default"/>
      </w:rPr>
    </w:lvl>
    <w:lvl w:ilvl="8" w:tplc="1234B0B0"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2BC"/>
    <w:rsid w:val="000C6218"/>
    <w:rsid w:val="000F2623"/>
    <w:rsid w:val="0012312C"/>
    <w:rsid w:val="00171B3E"/>
    <w:rsid w:val="001B330B"/>
    <w:rsid w:val="00234F15"/>
    <w:rsid w:val="002A63CC"/>
    <w:rsid w:val="002B5C01"/>
    <w:rsid w:val="002B6971"/>
    <w:rsid w:val="002F0B2B"/>
    <w:rsid w:val="00302B59"/>
    <w:rsid w:val="003B0B67"/>
    <w:rsid w:val="003C6930"/>
    <w:rsid w:val="003F7491"/>
    <w:rsid w:val="004118CB"/>
    <w:rsid w:val="00464871"/>
    <w:rsid w:val="004D0FD2"/>
    <w:rsid w:val="004D3A30"/>
    <w:rsid w:val="004E29B5"/>
    <w:rsid w:val="00502E5E"/>
    <w:rsid w:val="00531337"/>
    <w:rsid w:val="0057701F"/>
    <w:rsid w:val="0058389D"/>
    <w:rsid w:val="005932BC"/>
    <w:rsid w:val="005C1D26"/>
    <w:rsid w:val="005F3187"/>
    <w:rsid w:val="00631F10"/>
    <w:rsid w:val="006C2387"/>
    <w:rsid w:val="006E621D"/>
    <w:rsid w:val="00714947"/>
    <w:rsid w:val="007A4741"/>
    <w:rsid w:val="007A677E"/>
    <w:rsid w:val="007B4A26"/>
    <w:rsid w:val="00861DE1"/>
    <w:rsid w:val="00864E92"/>
    <w:rsid w:val="0087299B"/>
    <w:rsid w:val="008D6019"/>
    <w:rsid w:val="008E70BF"/>
    <w:rsid w:val="00936C02"/>
    <w:rsid w:val="00945488"/>
    <w:rsid w:val="0097295D"/>
    <w:rsid w:val="0099784E"/>
    <w:rsid w:val="00A334EA"/>
    <w:rsid w:val="00A34C26"/>
    <w:rsid w:val="00A51A47"/>
    <w:rsid w:val="00AF6F41"/>
    <w:rsid w:val="00B07E12"/>
    <w:rsid w:val="00BA2223"/>
    <w:rsid w:val="00BA3C5A"/>
    <w:rsid w:val="00BD61E4"/>
    <w:rsid w:val="00C414BE"/>
    <w:rsid w:val="00C84ACE"/>
    <w:rsid w:val="00CB1A5D"/>
    <w:rsid w:val="00D71AB3"/>
    <w:rsid w:val="00F9724C"/>
    <w:rsid w:val="00FB1E48"/>
    <w:rsid w:val="00FB7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699C7"/>
  <w15:chartTrackingRefBased/>
  <w15:docId w15:val="{60E7EA66-5189-4F58-A108-CBAEE098E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A5D"/>
    <w:pPr>
      <w:tabs>
        <w:tab w:val="center" w:pos="4680"/>
        <w:tab w:val="right" w:pos="9360"/>
      </w:tabs>
    </w:pPr>
  </w:style>
  <w:style w:type="character" w:customStyle="1" w:styleId="HeaderChar">
    <w:name w:val="Header Char"/>
    <w:basedOn w:val="DefaultParagraphFont"/>
    <w:link w:val="Header"/>
    <w:uiPriority w:val="99"/>
    <w:rsid w:val="00CB1A5D"/>
    <w:rPr>
      <w:sz w:val="24"/>
      <w:szCs w:val="24"/>
    </w:rPr>
  </w:style>
  <w:style w:type="paragraph" w:styleId="Footer">
    <w:name w:val="footer"/>
    <w:basedOn w:val="Normal"/>
    <w:link w:val="FooterChar"/>
    <w:uiPriority w:val="99"/>
    <w:unhideWhenUsed/>
    <w:rsid w:val="00CB1A5D"/>
    <w:pPr>
      <w:tabs>
        <w:tab w:val="center" w:pos="4680"/>
        <w:tab w:val="right" w:pos="9360"/>
      </w:tabs>
    </w:pPr>
  </w:style>
  <w:style w:type="character" w:customStyle="1" w:styleId="FooterChar">
    <w:name w:val="Footer Char"/>
    <w:basedOn w:val="DefaultParagraphFont"/>
    <w:link w:val="Footer"/>
    <w:uiPriority w:val="99"/>
    <w:rsid w:val="00CB1A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080505">
      <w:bodyDiv w:val="1"/>
      <w:marLeft w:val="0"/>
      <w:marRight w:val="0"/>
      <w:marTop w:val="0"/>
      <w:marBottom w:val="0"/>
      <w:divBdr>
        <w:top w:val="none" w:sz="0" w:space="0" w:color="auto"/>
        <w:left w:val="none" w:sz="0" w:space="0" w:color="auto"/>
        <w:bottom w:val="none" w:sz="0" w:space="0" w:color="auto"/>
        <w:right w:val="none" w:sz="0" w:space="0" w:color="auto"/>
      </w:divBdr>
      <w:divsChild>
        <w:div w:id="601038023">
          <w:marLeft w:val="547"/>
          <w:marRight w:val="0"/>
          <w:marTop w:val="86"/>
          <w:marBottom w:val="0"/>
          <w:divBdr>
            <w:top w:val="none" w:sz="0" w:space="0" w:color="auto"/>
            <w:left w:val="none" w:sz="0" w:space="0" w:color="auto"/>
            <w:bottom w:val="none" w:sz="0" w:space="0" w:color="auto"/>
            <w:right w:val="none" w:sz="0" w:space="0" w:color="auto"/>
          </w:divBdr>
        </w:div>
        <w:div w:id="1124271077">
          <w:marLeft w:val="547"/>
          <w:marRight w:val="0"/>
          <w:marTop w:val="86"/>
          <w:marBottom w:val="0"/>
          <w:divBdr>
            <w:top w:val="none" w:sz="0" w:space="0" w:color="auto"/>
            <w:left w:val="none" w:sz="0" w:space="0" w:color="auto"/>
            <w:bottom w:val="none" w:sz="0" w:space="0" w:color="auto"/>
            <w:right w:val="none" w:sz="0" w:space="0" w:color="auto"/>
          </w:divBdr>
        </w:div>
        <w:div w:id="1742559192">
          <w:marLeft w:val="547"/>
          <w:marRight w:val="0"/>
          <w:marTop w:val="86"/>
          <w:marBottom w:val="0"/>
          <w:divBdr>
            <w:top w:val="none" w:sz="0" w:space="0" w:color="auto"/>
            <w:left w:val="none" w:sz="0" w:space="0" w:color="auto"/>
            <w:bottom w:val="none" w:sz="0" w:space="0" w:color="auto"/>
            <w:right w:val="none" w:sz="0" w:space="0" w:color="auto"/>
          </w:divBdr>
        </w:div>
        <w:div w:id="1841889492">
          <w:marLeft w:val="547"/>
          <w:marRight w:val="0"/>
          <w:marTop w:val="86"/>
          <w:marBottom w:val="0"/>
          <w:divBdr>
            <w:top w:val="none" w:sz="0" w:space="0" w:color="auto"/>
            <w:left w:val="none" w:sz="0" w:space="0" w:color="auto"/>
            <w:bottom w:val="none" w:sz="0" w:space="0" w:color="auto"/>
            <w:right w:val="none" w:sz="0" w:space="0" w:color="auto"/>
          </w:divBdr>
        </w:div>
        <w:div w:id="2065329329">
          <w:marLeft w:val="547"/>
          <w:marRight w:val="0"/>
          <w:marTop w:val="86"/>
          <w:marBottom w:val="0"/>
          <w:divBdr>
            <w:top w:val="none" w:sz="0" w:space="0" w:color="auto"/>
            <w:left w:val="none" w:sz="0" w:space="0" w:color="auto"/>
            <w:bottom w:val="none" w:sz="0" w:space="0" w:color="auto"/>
            <w:right w:val="none" w:sz="0" w:space="0" w:color="auto"/>
          </w:divBdr>
        </w:div>
        <w:div w:id="208544741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Christie Larson</vt:lpstr>
    </vt:vector>
  </TitlesOfParts>
  <Company>IUP</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Christie Larson</dc:title>
  <dc:subject/>
  <dc:creator>LibPubUser</dc:creator>
  <cp:keywords/>
  <cp:lastModifiedBy>Vincent</cp:lastModifiedBy>
  <cp:revision>16</cp:revision>
  <dcterms:created xsi:type="dcterms:W3CDTF">2018-02-04T14:50:00Z</dcterms:created>
  <dcterms:modified xsi:type="dcterms:W3CDTF">2018-02-04T16:52:00Z</dcterms:modified>
</cp:coreProperties>
</file>